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Template for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Name of Monthly Meeting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Name of Meeting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Date (YYYY.MM.DD)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Opening Worship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Clerk’s message. This is often a reading. Readings are italicized.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Land acknowledgment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Those in attendance and regrets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Friendly news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Minutes of last business meeting (date)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The Minutes were accepted as received. Any corrections would also be recorded.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 Business arising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 Reports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Any reports or financial statements should appear in an Addendum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4. New business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5. Correspondence and announcements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tl w:val="0"/>
        </w:rPr>
        <w:t xml:space="preserve">Where pertinent, correspondence is included in the Addendum.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6. Membership matters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Closing Worship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Calendar Reminders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Addendum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 note may be added: If absent Friends have questions about the Minutes, please contact the Presiding Clerk for clarification.</w:t>
      </w:r>
    </w:p>
    <w:sectPr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tl w:val="0"/>
      </w:rPr>
      <w:t xml:space="preserve">Title of Document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386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3Sxi1IAnaguURp25gSdDG5KuCA==">CgMxLjA4AHIhMXFPbXgtZm9SMjd3cXMzdkI1N0VJajRVa3R4Rm5aYWRF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2024-02-22T15:30:00Z</dcterms:created>
  <dc:creator>quakerarchives</dc:creator>
</cp:coreProperties>
</file>